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000191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15-000536-1092-PE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19 febrero del 2016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interpuesto.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000192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12-000609-0332-PE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09:27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19 febrero del 2016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formulado por la Defensa Pública.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000193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15-000670-1092-PE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09:30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19 febrero del 2016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admisible el único motivo del recurso formulado por la Defensora Particular Carolina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Rojas Berrocal. Notifíquese.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sectPr>
      <w:headerReference r:id="rId6" w:type="default"/>
      <w:footerReference r:id="rId7" w:type="default"/>
      <w:pgSz w:h="15840" w:w="12240"/>
      <w:pgMar w:bottom="851" w:top="851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  <w:rtl w:val="0"/>
      </w:rPr>
      <w:t xml:space="preserve">ACTAS DE VOTACIONES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  <w:rtl w:val="0"/>
      </w:rPr>
      <w:t xml:space="preserve">PODER JUDICIAL</w:t>
    </w:r>
  </w:p>
  <w:p w:rsidR="00000000" w:rsidDel="00000000" w:rsidP="00000000" w:rsidRDefault="00000000" w:rsidRPr="00000000" w14:paraId="0000003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  <w:drawing>
        <wp:inline distB="0" distT="0" distL="114300" distR="114300">
          <wp:extent cx="6858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  <w:rtl w:val="0"/>
      </w:rPr>
      <w:t xml:space="preserve">Sala Tercera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